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450"/>
      </w:tblGrid>
      <w:tr w:rsidR="00FD4713" w:rsidRPr="003D06F2" w14:paraId="682D7417" w14:textId="77777777" w:rsidTr="5794289A">
        <w:trPr>
          <w:trHeight w:val="695"/>
        </w:trPr>
        <w:tc>
          <w:tcPr>
            <w:tcW w:w="445" w:type="dxa"/>
            <w:vAlign w:val="center"/>
          </w:tcPr>
          <w:p w14:paraId="649841BE" w14:textId="42780006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3909830" w14:textId="19D9B05B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MARK TWAIN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14:paraId="680408FD" w14:textId="79675CC3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450" w:type="dxa"/>
            <w:vAlign w:val="center"/>
          </w:tcPr>
          <w:p w14:paraId="56B20A0C" w14:textId="03AF0028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FD4713" w:rsidRPr="003D06F2" w14:paraId="0F915A4A" w14:textId="77777777" w:rsidTr="00FF03A9">
        <w:trPr>
          <w:trHeight w:val="59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14:paraId="18F999B5" w14:textId="52D206C6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700" w14:textId="285FE0FF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BIG DUMB EYES,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 by Nate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Bargatze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>. The Grammy Award nominated comedian shares snippets from his life and career.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14:paraId="23FA389C" w14:textId="109177E2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450" w:type="dxa"/>
            <w:vAlign w:val="center"/>
          </w:tcPr>
          <w:p w14:paraId="249FAAB8" w14:textId="18625060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FD4713" w:rsidRPr="003D06F2" w14:paraId="4BFCBFAF" w14:textId="77777777" w:rsidTr="5794289A">
        <w:trPr>
          <w:trHeight w:val="661"/>
        </w:trPr>
        <w:tc>
          <w:tcPr>
            <w:tcW w:w="445" w:type="dxa"/>
            <w:vAlign w:val="center"/>
          </w:tcPr>
          <w:p w14:paraId="5FCD5EC4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BB9579B" w14:textId="002043BA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ORIGINAL SIN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Jake Tapper and Alex Thompson. An account of Joe Biden’s initial decision to run for re-election in 2024 and its numerous consequences.</w:t>
            </w:r>
          </w:p>
        </w:tc>
        <w:tc>
          <w:tcPr>
            <w:tcW w:w="355" w:type="dxa"/>
            <w:vAlign w:val="center"/>
          </w:tcPr>
          <w:p w14:paraId="19F14E3C" w14:textId="64B52E03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50" w:type="dxa"/>
            <w:vAlign w:val="center"/>
          </w:tcPr>
          <w:p w14:paraId="7144751B" w14:textId="0FE311DE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FD4713" w:rsidRPr="003D06F2" w14:paraId="7C0F3747" w14:textId="77777777" w:rsidTr="5794289A">
        <w:trPr>
          <w:trHeight w:val="472"/>
        </w:trPr>
        <w:tc>
          <w:tcPr>
            <w:tcW w:w="445" w:type="dxa"/>
            <w:vAlign w:val="center"/>
          </w:tcPr>
          <w:p w14:paraId="2598DEE6" w14:textId="0A7833C7" w:rsidR="00FD4713" w:rsidRPr="00327C9B" w:rsidRDefault="00327C9B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14:paraId="1BE90E73" w14:textId="3389ECBB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ANXIOUS GENERATION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14:paraId="78E884CA" w14:textId="1BF690F1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center"/>
          </w:tcPr>
          <w:p w14:paraId="5A3C3AB2" w14:textId="48027696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64</w:t>
            </w:r>
          </w:p>
        </w:tc>
      </w:tr>
      <w:tr w:rsidR="00FD4713" w:rsidRPr="003D06F2" w14:paraId="6AF1C79A" w14:textId="77777777" w:rsidTr="5794289A">
        <w:trPr>
          <w:trHeight w:val="670"/>
        </w:trPr>
        <w:tc>
          <w:tcPr>
            <w:tcW w:w="445" w:type="dxa"/>
            <w:vAlign w:val="center"/>
          </w:tcPr>
          <w:p w14:paraId="78941E47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14:paraId="4F631299" w14:textId="283B8178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ABUNDANCE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14:paraId="56A9C498" w14:textId="00536E94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50" w:type="dxa"/>
            <w:vAlign w:val="center"/>
          </w:tcPr>
          <w:p w14:paraId="065D2414" w14:textId="6190DFBD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</w:tr>
      <w:tr w:rsidR="00FD4713" w:rsidRPr="003D06F2" w14:paraId="7E630300" w14:textId="77777777" w:rsidTr="5794289A">
        <w:trPr>
          <w:trHeight w:val="704"/>
        </w:trPr>
        <w:tc>
          <w:tcPr>
            <w:tcW w:w="445" w:type="dxa"/>
            <w:vAlign w:val="center"/>
          </w:tcPr>
          <w:p w14:paraId="29B4EA11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14:paraId="49F7CF0D" w14:textId="7E309156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EVERYTHING IS TUBERCULOSIS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14:paraId="5FE80228" w14:textId="02DBEBB2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50" w:type="dxa"/>
            <w:vAlign w:val="center"/>
          </w:tcPr>
          <w:p w14:paraId="2E32D521" w14:textId="60FE7ADF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13</w:t>
            </w:r>
          </w:p>
        </w:tc>
      </w:tr>
      <w:tr w:rsidR="00FD4713" w:rsidRPr="003D06F2" w14:paraId="4E577724" w14:textId="77777777" w:rsidTr="00FF03A9">
        <w:trPr>
          <w:trHeight w:val="668"/>
        </w:trPr>
        <w:tc>
          <w:tcPr>
            <w:tcW w:w="445" w:type="dxa"/>
            <w:vAlign w:val="center"/>
          </w:tcPr>
          <w:p w14:paraId="75697EEC" w14:textId="3036652F" w:rsidR="00FD4713" w:rsidRPr="00327C9B" w:rsidRDefault="00327C9B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14:paraId="1FDAD90C" w14:textId="11817F4D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TRUMP'S TRIUMPH</w:t>
            </w:r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>, by Newt Gingrich. The former speaker of the House depicts the political comeback of President Trump.</w:t>
            </w:r>
          </w:p>
        </w:tc>
        <w:tc>
          <w:tcPr>
            <w:tcW w:w="355" w:type="dxa"/>
            <w:vAlign w:val="center"/>
          </w:tcPr>
          <w:p w14:paraId="0B778152" w14:textId="6A5AF3AE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50" w:type="dxa"/>
            <w:vAlign w:val="center"/>
          </w:tcPr>
          <w:p w14:paraId="7A036E3D" w14:textId="35B76B4C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FD4713" w:rsidRPr="003D06F2" w14:paraId="0CDF5015" w14:textId="77777777" w:rsidTr="5794289A">
        <w:trPr>
          <w:trHeight w:val="480"/>
        </w:trPr>
        <w:tc>
          <w:tcPr>
            <w:tcW w:w="445" w:type="dxa"/>
            <w:vAlign w:val="center"/>
          </w:tcPr>
          <w:p w14:paraId="44B0A208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14:paraId="4C9C0CA4" w14:textId="69F90B99" w:rsidR="00FD4713" w:rsidRPr="00327C9B" w:rsidRDefault="00FF03A9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i/>
                <w:sz w:val="19"/>
                <w:szCs w:val="19"/>
              </w:rPr>
              <w:t>THE FATE OF THE DAY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Rick Atkinson. The author of “The British Are Coming” portrays the middle years of the American Revolution.</w:t>
            </w:r>
          </w:p>
        </w:tc>
        <w:tc>
          <w:tcPr>
            <w:tcW w:w="355" w:type="dxa"/>
            <w:vAlign w:val="center"/>
          </w:tcPr>
          <w:p w14:paraId="1B87E3DE" w14:textId="12A05257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5D369756" w14:textId="6EAB9044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FD4713" w:rsidRPr="003D06F2" w14:paraId="7DD2AA6B" w14:textId="77777777" w:rsidTr="5794289A">
        <w:trPr>
          <w:trHeight w:val="452"/>
        </w:trPr>
        <w:tc>
          <w:tcPr>
            <w:tcW w:w="445" w:type="dxa"/>
            <w:vAlign w:val="center"/>
          </w:tcPr>
          <w:p w14:paraId="2B2B7304" w14:textId="525959C0" w:rsidR="00FD4713" w:rsidRPr="00327C9B" w:rsidRDefault="00327C9B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="00FD4713"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14:paraId="394DC8F6" w14:textId="74A7A363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 DIFFERENT KIND OF POWER,</w:t>
            </w:r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by Jacinda Ardern. The former prime minister of New Zealand details challenges her country faced and makes her case for empathetic leadership.</w:t>
            </w:r>
          </w:p>
        </w:tc>
        <w:tc>
          <w:tcPr>
            <w:tcW w:w="355" w:type="dxa"/>
            <w:vAlign w:val="center"/>
          </w:tcPr>
          <w:p w14:paraId="05CF148A" w14:textId="5F64712F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50" w:type="dxa"/>
            <w:vAlign w:val="center"/>
          </w:tcPr>
          <w:p w14:paraId="0C50080F" w14:textId="45BB9F71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D4713" w:rsidRPr="003D06F2" w14:paraId="4036D77C" w14:textId="77777777" w:rsidTr="5794289A">
        <w:trPr>
          <w:trHeight w:val="660"/>
        </w:trPr>
        <w:tc>
          <w:tcPr>
            <w:tcW w:w="445" w:type="dxa"/>
            <w:vAlign w:val="center"/>
          </w:tcPr>
          <w:p w14:paraId="446DE71A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20"/>
                <w:szCs w:val="20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10</w:t>
            </w:r>
          </w:p>
        </w:tc>
        <w:tc>
          <w:tcPr>
            <w:tcW w:w="4235" w:type="dxa"/>
          </w:tcPr>
          <w:p w14:paraId="5E38A5FF" w14:textId="4E635A60" w:rsidR="00FD4713" w:rsidRPr="00327C9B" w:rsidRDefault="00FF03A9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i/>
                <w:color w:val="C00000"/>
                <w:sz w:val="19"/>
                <w:szCs w:val="19"/>
              </w:rPr>
              <w:t>THE DEMON OF UNREST</w:t>
            </w:r>
            <w:r w:rsidRPr="00327C9B">
              <w:rPr>
                <w:rFonts w:ascii="Arial Narrow" w:eastAsia="Arial Narrow" w:hAnsi="Arial Narrow" w:cs="Arial Narrow"/>
                <w:color w:val="C00000"/>
                <w:sz w:val="19"/>
                <w:szCs w:val="19"/>
              </w:rPr>
              <w:t>, by Erik Larson. The author of “The Splendid and the Vile” portrays the months between the election of Abraham Lincoln and the beginning of the Civil War.</w:t>
            </w:r>
          </w:p>
        </w:tc>
        <w:tc>
          <w:tcPr>
            <w:tcW w:w="355" w:type="dxa"/>
            <w:vAlign w:val="center"/>
          </w:tcPr>
          <w:p w14:paraId="03853697" w14:textId="02D3B98A" w:rsidR="00FD4713" w:rsidRPr="00327C9B" w:rsidRDefault="00FD4713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--</w:t>
            </w:r>
          </w:p>
        </w:tc>
        <w:tc>
          <w:tcPr>
            <w:tcW w:w="450" w:type="dxa"/>
            <w:vAlign w:val="center"/>
          </w:tcPr>
          <w:p w14:paraId="3E1FE5D4" w14:textId="483EC15F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C00000"/>
                <w:sz w:val="20"/>
                <w:szCs w:val="20"/>
              </w:rPr>
              <w:t>31</w:t>
            </w:r>
          </w:p>
        </w:tc>
      </w:tr>
      <w:tr w:rsidR="00FD4713" w:rsidRPr="003D06F2" w14:paraId="1BBC5342" w14:textId="77777777" w:rsidTr="00FF03A9">
        <w:trPr>
          <w:trHeight w:val="434"/>
        </w:trPr>
        <w:tc>
          <w:tcPr>
            <w:tcW w:w="445" w:type="dxa"/>
            <w:vAlign w:val="center"/>
          </w:tcPr>
          <w:p w14:paraId="4737E36C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14:paraId="6E004E6B" w14:textId="4ECB0A0F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14:paraId="31830EAB" w14:textId="09902FEC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279935FF" w14:textId="076D2363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104</w:t>
            </w:r>
          </w:p>
        </w:tc>
      </w:tr>
      <w:tr w:rsidR="00FD4713" w:rsidRPr="003D06F2" w14:paraId="3BB02EB0" w14:textId="77777777" w:rsidTr="5794289A">
        <w:trPr>
          <w:trHeight w:val="510"/>
        </w:trPr>
        <w:tc>
          <w:tcPr>
            <w:tcW w:w="445" w:type="dxa"/>
            <w:vAlign w:val="center"/>
          </w:tcPr>
          <w:p w14:paraId="4B73E586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14:paraId="43E7C194" w14:textId="6FB9B35C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HOW COUNTRIES GO BROKE</w:t>
            </w:r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by Ray </w:t>
            </w:r>
            <w:proofErr w:type="spellStart"/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>Dalio</w:t>
            </w:r>
            <w:proofErr w:type="spellEnd"/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>. The author of “Principles” evaluates the forces that contribute to what he calls the “big debt cycle.”</w:t>
            </w:r>
          </w:p>
        </w:tc>
        <w:tc>
          <w:tcPr>
            <w:tcW w:w="355" w:type="dxa"/>
            <w:vAlign w:val="center"/>
          </w:tcPr>
          <w:p w14:paraId="109B8484" w14:textId="0EEAC180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50" w:type="dxa"/>
            <w:vAlign w:val="center"/>
          </w:tcPr>
          <w:p w14:paraId="7C964D78" w14:textId="3A9EF018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FD4713" w:rsidRPr="003D06F2" w14:paraId="78955AF4" w14:textId="77777777" w:rsidTr="5794289A">
        <w:trPr>
          <w:trHeight w:val="480"/>
        </w:trPr>
        <w:tc>
          <w:tcPr>
            <w:tcW w:w="445" w:type="dxa"/>
            <w:vAlign w:val="center"/>
          </w:tcPr>
          <w:p w14:paraId="12550D56" w14:textId="15D80B3C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14:paraId="39F18D26" w14:textId="198E4118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14:paraId="2E8F0F85" w14:textId="7E39D276" w:rsidR="00FD4713" w:rsidRPr="00327C9B" w:rsidRDefault="00FF03A9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JOHN &amp; PAUL, </w:t>
            </w:r>
            <w:r w:rsidRPr="00327C9B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by Ian Leslie. The 23-year relationship between John Lennon and Paul McCartney is viewed through the lens of the songs they wrote together.</w:t>
            </w:r>
          </w:p>
        </w:tc>
        <w:tc>
          <w:tcPr>
            <w:tcW w:w="355" w:type="dxa"/>
            <w:vAlign w:val="center"/>
          </w:tcPr>
          <w:p w14:paraId="57AC8293" w14:textId="77777777" w:rsidR="00FD4713" w:rsidRPr="00327C9B" w:rsidRDefault="00FD4713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050B3AD0" w14:textId="4C811676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FD4713" w:rsidRPr="003D06F2" w14:paraId="53C09B45" w14:textId="77777777" w:rsidTr="5794289A">
        <w:trPr>
          <w:trHeight w:val="686"/>
        </w:trPr>
        <w:tc>
          <w:tcPr>
            <w:tcW w:w="445" w:type="dxa"/>
            <w:vAlign w:val="center"/>
          </w:tcPr>
          <w:p w14:paraId="4E1E336A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C00000"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14:paraId="24887C86" w14:textId="08835DAF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 xml:space="preserve">WHO IS </w:t>
            </w:r>
            <w:proofErr w:type="gramStart"/>
            <w:r w:rsidRPr="00327C9B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GOVERNMENT?,</w:t>
            </w:r>
            <w:proofErr w:type="gramEnd"/>
            <w:r w:rsidRPr="00327C9B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 edited by Michael Lewis. Essays by Casey Cep, Dave Eggers, John </w:t>
            </w:r>
            <w:proofErr w:type="spellStart"/>
            <w:r w:rsidRPr="00327C9B">
              <w:rPr>
                <w:rFonts w:ascii="Arial Narrow" w:hAnsi="Arial Narrow" w:cs="Arial"/>
                <w:color w:val="C00000"/>
                <w:sz w:val="19"/>
                <w:szCs w:val="19"/>
              </w:rPr>
              <w:t>Lanchester</w:t>
            </w:r>
            <w:proofErr w:type="spellEnd"/>
            <w:r w:rsidRPr="00327C9B">
              <w:rPr>
                <w:rFonts w:ascii="Arial Narrow" w:hAnsi="Arial Narrow" w:cs="Arial"/>
                <w:color w:val="C00000"/>
                <w:sz w:val="19"/>
                <w:szCs w:val="19"/>
              </w:rPr>
              <w:t xml:space="preserve">, Geraldine Brooks, Sarah </w:t>
            </w:r>
            <w:proofErr w:type="spellStart"/>
            <w:r w:rsidRPr="00327C9B">
              <w:rPr>
                <w:rFonts w:ascii="Arial Narrow" w:hAnsi="Arial Narrow" w:cs="Arial"/>
                <w:color w:val="C00000"/>
                <w:sz w:val="19"/>
                <w:szCs w:val="19"/>
              </w:rPr>
              <w:t>Vowell</w:t>
            </w:r>
            <w:proofErr w:type="spellEnd"/>
            <w:r w:rsidRPr="00327C9B">
              <w:rPr>
                <w:rFonts w:ascii="Arial Narrow" w:hAnsi="Arial Narrow" w:cs="Arial"/>
                <w:color w:val="C00000"/>
                <w:sz w:val="19"/>
                <w:szCs w:val="19"/>
              </w:rPr>
              <w:t>, W. Kamau Bell and Michael Lewis illuminate the work of federal employees and the business of government.</w:t>
            </w:r>
          </w:p>
        </w:tc>
        <w:tc>
          <w:tcPr>
            <w:tcW w:w="355" w:type="dxa"/>
            <w:vAlign w:val="center"/>
          </w:tcPr>
          <w:p w14:paraId="44240AAE" w14:textId="1DC85D0D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76DB90EB" w14:textId="50748D23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C00000"/>
                <w:sz w:val="19"/>
                <w:szCs w:val="19"/>
              </w:rPr>
              <w:t>7</w:t>
            </w:r>
          </w:p>
        </w:tc>
      </w:tr>
      <w:tr w:rsidR="00FD4713" w:rsidRPr="003D06F2" w14:paraId="47F1BABB" w14:textId="77777777" w:rsidTr="5794289A">
        <w:trPr>
          <w:trHeight w:val="488"/>
        </w:trPr>
        <w:tc>
          <w:tcPr>
            <w:tcW w:w="445" w:type="dxa"/>
            <w:vAlign w:val="center"/>
          </w:tcPr>
          <w:p w14:paraId="33CFEC6B" w14:textId="00F2D3EF" w:rsidR="00FD4713" w:rsidRPr="00327C9B" w:rsidRDefault="00327C9B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bookmarkStart w:id="0" w:name="_GoBack"/>
            <w:bookmarkEnd w:id="0"/>
            <w:r w:rsidR="00FD4713" w:rsidRPr="00327C9B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14:paraId="314446BC" w14:textId="70EE158F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APPLE IN CHINA, </w:t>
            </w:r>
            <w:r w:rsidRPr="00327C9B">
              <w:rPr>
                <w:rFonts w:ascii="Arial Narrow" w:eastAsia="Arial Narrow" w:hAnsi="Arial Narrow" w:cs="Arial Narrow"/>
                <w:bCs/>
                <w:iCs/>
                <w:sz w:val="19"/>
                <w:szCs w:val="19"/>
              </w:rPr>
              <w:t>by Patrick McGee. A journalist depicts the development of Apple’s supply chain and its increasingly precarious relationship with China.</w:t>
            </w:r>
          </w:p>
        </w:tc>
        <w:tc>
          <w:tcPr>
            <w:tcW w:w="355" w:type="dxa"/>
            <w:vAlign w:val="center"/>
          </w:tcPr>
          <w:p w14:paraId="5D0116D1" w14:textId="2818E5F7" w:rsidR="00FD4713" w:rsidRPr="00327C9B" w:rsidRDefault="00FD4713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--</w:t>
            </w:r>
          </w:p>
        </w:tc>
        <w:tc>
          <w:tcPr>
            <w:tcW w:w="450" w:type="dxa"/>
            <w:vAlign w:val="center"/>
          </w:tcPr>
          <w:p w14:paraId="69F24933" w14:textId="09063B9A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</w:tbl>
    <w:tbl>
      <w:tblPr>
        <w:tblpPr w:leftFromText="180" w:rightFromText="180" w:vertAnchor="text" w:horzAnchor="margin" w:tblpX="-5" w:tblpY="31"/>
        <w:tblW w:w="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70"/>
        <w:gridCol w:w="270"/>
        <w:gridCol w:w="360"/>
      </w:tblGrid>
      <w:tr w:rsidR="003D06F2" w:rsidRPr="003D06F2" w14:paraId="283EBE18" w14:textId="77777777" w:rsidTr="0052233F">
        <w:trPr>
          <w:trHeight w:val="700"/>
          <w:tblHeader/>
        </w:trPr>
        <w:tc>
          <w:tcPr>
            <w:tcW w:w="414" w:type="dxa"/>
            <w:vAlign w:val="center"/>
          </w:tcPr>
          <w:p w14:paraId="6B965A47" w14:textId="77777777" w:rsidR="00980C94" w:rsidRPr="0054566F" w:rsidRDefault="2202BDBF" w:rsidP="0C7303F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C7303F1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="2FE71F1E" w:rsidRPr="0C7303F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70" w:type="dxa"/>
          </w:tcPr>
          <w:p w14:paraId="24F816EB" w14:textId="42D823C6" w:rsidR="00980C94" w:rsidRPr="0054566F" w:rsidRDefault="00FD4713" w:rsidP="0C73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FD4713">
              <w:rPr>
                <w:rFonts w:ascii="Arial Narrow" w:eastAsia="Arial Narrow" w:hAnsi="Arial Narrow" w:cs="Arial Narrow"/>
                <w:b/>
                <w:i/>
                <w:color w:val="006600"/>
                <w:sz w:val="19"/>
                <w:szCs w:val="19"/>
              </w:rPr>
              <w:t>BURY OUR BONES IN THE MIDNIGHT SOIL</w:t>
            </w:r>
            <w:r w:rsidRPr="00FD471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, by V.E. Schwab. Stories set in Santo Domingo de la </w:t>
            </w:r>
            <w:proofErr w:type="spellStart"/>
            <w:r w:rsidRPr="00FD471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>Calzada</w:t>
            </w:r>
            <w:proofErr w:type="spellEnd"/>
            <w:r w:rsidRPr="00FD4713"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  <w:t xml:space="preserve"> in 1532, London in 1827 and Boston in 2019 explore hunger, love and rage.</w:t>
            </w:r>
          </w:p>
        </w:tc>
        <w:tc>
          <w:tcPr>
            <w:tcW w:w="270" w:type="dxa"/>
            <w:vAlign w:val="center"/>
          </w:tcPr>
          <w:p w14:paraId="61543530" w14:textId="77777777" w:rsidR="00980C94" w:rsidRPr="0054566F" w:rsidRDefault="00A550F4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4566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14:paraId="511F3AB7" w14:textId="77777777" w:rsidR="00980C94" w:rsidRPr="0054566F" w:rsidRDefault="00A550F4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4566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D4713" w:rsidRPr="008476EA" w14:paraId="7D3BF284" w14:textId="77777777" w:rsidTr="0052233F">
        <w:trPr>
          <w:trHeight w:val="690"/>
        </w:trPr>
        <w:tc>
          <w:tcPr>
            <w:tcW w:w="414" w:type="dxa"/>
            <w:vAlign w:val="center"/>
          </w:tcPr>
          <w:p w14:paraId="7842F596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70" w:type="dxa"/>
          </w:tcPr>
          <w:p w14:paraId="154D4ECE" w14:textId="369D902E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ATMOSPHERE</w:t>
            </w:r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>, by Taylor Jenkins Reid. In the summer of 1980, Joan Goodwin begins training with a group of candidates for NASA’s space shuttle program.</w:t>
            </w:r>
          </w:p>
        </w:tc>
        <w:tc>
          <w:tcPr>
            <w:tcW w:w="270" w:type="dxa"/>
            <w:vAlign w:val="center"/>
          </w:tcPr>
          <w:p w14:paraId="1791B229" w14:textId="0D9864BE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14:paraId="39507054" w14:textId="63A6B72C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D4713" w:rsidRPr="008476EA" w14:paraId="27929210" w14:textId="77777777" w:rsidTr="0052233F">
        <w:trPr>
          <w:trHeight w:val="681"/>
        </w:trPr>
        <w:tc>
          <w:tcPr>
            <w:tcW w:w="414" w:type="dxa"/>
            <w:vAlign w:val="center"/>
          </w:tcPr>
          <w:p w14:paraId="68D9363B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70" w:type="dxa"/>
          </w:tcPr>
          <w:p w14:paraId="5370BC64" w14:textId="78F1C50F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NEVER FLINCH</w:t>
            </w:r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>, by Stephen King. Holly Gibney does double duty by helping head off acts of retribution and protecting a women’s rights activist.</w:t>
            </w:r>
          </w:p>
        </w:tc>
        <w:tc>
          <w:tcPr>
            <w:tcW w:w="270" w:type="dxa"/>
            <w:vAlign w:val="center"/>
          </w:tcPr>
          <w:p w14:paraId="57AB7477" w14:textId="35640E61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14:paraId="729DE7E4" w14:textId="3DEAC4D9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FD4713" w:rsidRPr="008476EA" w14:paraId="0566379F" w14:textId="77777777" w:rsidTr="0052233F">
        <w:trPr>
          <w:trHeight w:val="681"/>
        </w:trPr>
        <w:tc>
          <w:tcPr>
            <w:tcW w:w="414" w:type="dxa"/>
            <w:vAlign w:val="center"/>
          </w:tcPr>
          <w:p w14:paraId="17310F6F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70" w:type="dxa"/>
          </w:tcPr>
          <w:p w14:paraId="7804A32A" w14:textId="03583649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THE FIRST GENTLEMAN</w:t>
            </w:r>
            <w:r w:rsidRPr="00327C9B">
              <w:rPr>
                <w:rFonts w:ascii="Arial Narrow" w:eastAsia="Arial Narrow" w:hAnsi="Arial Narrow" w:cs="Arial Narrow"/>
                <w:sz w:val="19"/>
                <w:szCs w:val="19"/>
              </w:rPr>
              <w:t>, by Bill Clinton and James Patterson. When President Wright’s husband goes on trial for murder, a pair of journalists search for answers.</w:t>
            </w:r>
          </w:p>
        </w:tc>
        <w:tc>
          <w:tcPr>
            <w:tcW w:w="270" w:type="dxa"/>
            <w:vAlign w:val="center"/>
          </w:tcPr>
          <w:p w14:paraId="2CC21B90" w14:textId="60AC5887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14:paraId="138328F9" w14:textId="2EC125C1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FD4713" w:rsidRPr="008476EA" w14:paraId="08494E56" w14:textId="77777777" w:rsidTr="0052233F">
        <w:trPr>
          <w:trHeight w:val="690"/>
        </w:trPr>
        <w:tc>
          <w:tcPr>
            <w:tcW w:w="414" w:type="dxa"/>
            <w:vAlign w:val="center"/>
          </w:tcPr>
          <w:p w14:paraId="1D0ADF7A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70" w:type="dxa"/>
          </w:tcPr>
          <w:p w14:paraId="173F4C1E" w14:textId="2AFDDA92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WITH A VENGEANCE</w:t>
            </w:r>
            <w:r w:rsidRPr="00327C9B">
              <w:rPr>
                <w:rFonts w:ascii="Arial Narrow" w:hAnsi="Arial Narrow" w:cs="Arial"/>
                <w:color w:val="006600"/>
                <w:sz w:val="19"/>
                <w:szCs w:val="19"/>
              </w:rPr>
              <w:t>, by Riley Sager. The murder of a passenger on a luxury train disrupts Anna Matheson’s plan to get retribution for her family’s downfall.</w:t>
            </w:r>
          </w:p>
        </w:tc>
        <w:tc>
          <w:tcPr>
            <w:tcW w:w="270" w:type="dxa"/>
            <w:vAlign w:val="center"/>
          </w:tcPr>
          <w:p w14:paraId="22C3D751" w14:textId="4FE217B1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14:paraId="297C039E" w14:textId="1B8F97BB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D4713" w:rsidRPr="008476EA" w14:paraId="28256273" w14:textId="77777777" w:rsidTr="0052233F">
        <w:trPr>
          <w:trHeight w:val="709"/>
        </w:trPr>
        <w:tc>
          <w:tcPr>
            <w:tcW w:w="414" w:type="dxa"/>
            <w:vAlign w:val="center"/>
          </w:tcPr>
          <w:p w14:paraId="1946A7AE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70" w:type="dxa"/>
          </w:tcPr>
          <w:p w14:paraId="0E87096D" w14:textId="04B45CBD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color w:val="006600"/>
                <w:sz w:val="19"/>
                <w:szCs w:val="19"/>
              </w:rPr>
            </w:pPr>
            <w:r w:rsidRPr="00327C9B">
              <w:rPr>
                <w:rFonts w:ascii="Arial Narrow" w:eastAsia="Arial Narrow" w:hAnsi="Arial Narrow" w:cs="Arial Narrow"/>
                <w:b/>
                <w:bCs/>
                <w:i/>
                <w:iCs/>
                <w:color w:val="006600"/>
                <w:sz w:val="19"/>
                <w:szCs w:val="19"/>
              </w:rPr>
              <w:t>THE RIVER IS WAITING</w:t>
            </w:r>
            <w:r w:rsidRPr="00327C9B">
              <w:rPr>
                <w:rFonts w:ascii="Arial Narrow" w:eastAsia="Arial Narrow" w:hAnsi="Arial Narrow" w:cs="Arial Narrow"/>
                <w:bCs/>
                <w:iCs/>
                <w:color w:val="006600"/>
                <w:sz w:val="19"/>
                <w:szCs w:val="19"/>
              </w:rPr>
              <w:t>, by Wally Lamb. A man struggling in several areas of his life is sentenced to prison, where he encounters acts of kindness and brutality.</w:t>
            </w:r>
          </w:p>
        </w:tc>
        <w:tc>
          <w:tcPr>
            <w:tcW w:w="270" w:type="dxa"/>
            <w:vAlign w:val="center"/>
          </w:tcPr>
          <w:p w14:paraId="6DDB914C" w14:textId="2FFCB3E1" w:rsidR="00FD4713" w:rsidRPr="00327C9B" w:rsidRDefault="00FD4713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14:paraId="2A2176D0" w14:textId="55F29771" w:rsidR="00FD4713" w:rsidRPr="00327C9B" w:rsidRDefault="00FD4713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FD4713" w:rsidRPr="008476EA" w14:paraId="46F6EF37" w14:textId="77777777" w:rsidTr="0052233F">
        <w:trPr>
          <w:trHeight w:val="486"/>
        </w:trPr>
        <w:tc>
          <w:tcPr>
            <w:tcW w:w="414" w:type="dxa"/>
            <w:vAlign w:val="center"/>
          </w:tcPr>
          <w:p w14:paraId="6F74D8FD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70" w:type="dxa"/>
          </w:tcPr>
          <w:p w14:paraId="473178C2" w14:textId="7A28E2CE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GREAT BIG BEAUTIFUL LIFE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14:paraId="5E51526B" w14:textId="5320771E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14:paraId="0295336A" w14:textId="0B233136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8</w:t>
            </w:r>
          </w:p>
        </w:tc>
      </w:tr>
      <w:tr w:rsidR="00FD4713" w:rsidRPr="008476EA" w14:paraId="59B93805" w14:textId="77777777" w:rsidTr="0052233F">
        <w:trPr>
          <w:trHeight w:val="715"/>
        </w:trPr>
        <w:tc>
          <w:tcPr>
            <w:tcW w:w="414" w:type="dxa"/>
            <w:vAlign w:val="center"/>
          </w:tcPr>
          <w:p w14:paraId="49832D11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70" w:type="dxa"/>
          </w:tcPr>
          <w:p w14:paraId="5ABF78A4" w14:textId="0D807D85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NIGHTSHADE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, by Michael Connelly. The Los Angeles County sheriff's detective Stilwell gets reassigned to Catalina Island, where he investigates a poaching case and a Jane Doe found in the harbor.</w:t>
            </w:r>
          </w:p>
        </w:tc>
        <w:tc>
          <w:tcPr>
            <w:tcW w:w="270" w:type="dxa"/>
            <w:vAlign w:val="center"/>
          </w:tcPr>
          <w:p w14:paraId="089009E4" w14:textId="52380F40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14:paraId="526D80A2" w14:textId="69985213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FD4713" w:rsidRPr="008476EA" w14:paraId="2AF348BC" w14:textId="77777777" w:rsidTr="0052233F">
        <w:trPr>
          <w:trHeight w:val="700"/>
        </w:trPr>
        <w:tc>
          <w:tcPr>
            <w:tcW w:w="414" w:type="dxa"/>
            <w:vAlign w:val="center"/>
          </w:tcPr>
          <w:p w14:paraId="42124560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9</w:t>
            </w:r>
          </w:p>
        </w:tc>
        <w:tc>
          <w:tcPr>
            <w:tcW w:w="4270" w:type="dxa"/>
          </w:tcPr>
          <w:p w14:paraId="581179D7" w14:textId="21DB3F8B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KING OF ASHES</w:t>
            </w:r>
            <w:r w:rsidRPr="00327C9B">
              <w:rPr>
                <w:rFonts w:ascii="Arial Narrow" w:hAnsi="Arial Narrow" w:cs="Arial"/>
                <w:color w:val="006600"/>
                <w:sz w:val="19"/>
                <w:szCs w:val="19"/>
              </w:rPr>
              <w:t>, by S.A. Cosby. Roman Carruthers uses his finance skills to deal with criminals and try to hold his family together.</w:t>
            </w:r>
          </w:p>
        </w:tc>
        <w:tc>
          <w:tcPr>
            <w:tcW w:w="270" w:type="dxa"/>
            <w:vAlign w:val="center"/>
          </w:tcPr>
          <w:p w14:paraId="71CBABF6" w14:textId="47577973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14:paraId="54B6C890" w14:textId="4ACE8599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FD4713" w:rsidRPr="008476EA" w14:paraId="182DE240" w14:textId="77777777" w:rsidTr="0052233F">
        <w:trPr>
          <w:trHeight w:val="654"/>
        </w:trPr>
        <w:tc>
          <w:tcPr>
            <w:tcW w:w="414" w:type="dxa"/>
            <w:vAlign w:val="center"/>
          </w:tcPr>
          <w:p w14:paraId="22F65FF9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70" w:type="dxa"/>
          </w:tcPr>
          <w:p w14:paraId="6965A033" w14:textId="32D07A67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 xml:space="preserve">MY FRIENDS, 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14:paraId="735DA4F4" w14:textId="348B0098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14:paraId="28E52AA1" w14:textId="1ECAA7FD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D4713" w:rsidRPr="008476EA" w14:paraId="4444CBFB" w14:textId="77777777" w:rsidTr="0052233F">
        <w:trPr>
          <w:trHeight w:val="681"/>
        </w:trPr>
        <w:tc>
          <w:tcPr>
            <w:tcW w:w="414" w:type="dxa"/>
            <w:vAlign w:val="center"/>
          </w:tcPr>
          <w:p w14:paraId="7A622172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70" w:type="dxa"/>
          </w:tcPr>
          <w:p w14:paraId="08C09F70" w14:textId="539851BA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ONYX STORM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14:paraId="0F953182" w14:textId="7120E7A2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14:paraId="5D9A48CF" w14:textId="20ACE385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21</w:t>
            </w:r>
          </w:p>
        </w:tc>
      </w:tr>
      <w:tr w:rsidR="00FD4713" w:rsidRPr="008476EA" w14:paraId="64CB845B" w14:textId="77777777" w:rsidTr="0052233F">
        <w:trPr>
          <w:trHeight w:val="627"/>
        </w:trPr>
        <w:tc>
          <w:tcPr>
            <w:tcW w:w="414" w:type="dxa"/>
            <w:vAlign w:val="center"/>
          </w:tcPr>
          <w:p w14:paraId="48DF98D7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327C9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70" w:type="dxa"/>
          </w:tcPr>
          <w:p w14:paraId="723C6503" w14:textId="5E4E04A1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color w:val="006600"/>
                <w:sz w:val="19"/>
                <w:szCs w:val="19"/>
              </w:rPr>
              <w:t>THE LOVE HYPOTHESIS</w:t>
            </w:r>
            <w:r w:rsidRPr="00327C9B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, by Ali Hazelwood. A young professor agrees to pretend to be a third-year Ph.D. candidate’s boyfriend.</w:t>
            </w:r>
          </w:p>
        </w:tc>
        <w:tc>
          <w:tcPr>
            <w:tcW w:w="270" w:type="dxa"/>
            <w:vAlign w:val="center"/>
          </w:tcPr>
          <w:p w14:paraId="1B7EEA85" w14:textId="1AE4F126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14:paraId="14648C29" w14:textId="22BC946D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FD4713" w:rsidRPr="004D6FFD" w14:paraId="60CFE453" w14:textId="77777777" w:rsidTr="0052233F">
        <w:trPr>
          <w:trHeight w:val="696"/>
        </w:trPr>
        <w:tc>
          <w:tcPr>
            <w:tcW w:w="414" w:type="dxa"/>
            <w:vAlign w:val="center"/>
          </w:tcPr>
          <w:p w14:paraId="415384D1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270" w:type="dxa"/>
          </w:tcPr>
          <w:p w14:paraId="149D6224" w14:textId="67AF0A00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KNIGHT AND THE MOTH,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 by Rachel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Gillig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. Sybil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Delling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>, who is gifted with the power of foresight, forms an alliance with a heretical knight when her sister Diviners disappear.</w:t>
            </w:r>
          </w:p>
        </w:tc>
        <w:tc>
          <w:tcPr>
            <w:tcW w:w="270" w:type="dxa"/>
            <w:vAlign w:val="center"/>
          </w:tcPr>
          <w:p w14:paraId="538EE40F" w14:textId="34C0E477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14:paraId="46335038" w14:textId="7077F7EB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bCs/>
                <w:sz w:val="19"/>
                <w:szCs w:val="19"/>
              </w:rPr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4</w:t>
            </w:r>
          </w:p>
        </w:tc>
      </w:tr>
      <w:tr w:rsidR="00FD4713" w:rsidRPr="009C1CA1" w14:paraId="5403F174" w14:textId="77777777" w:rsidTr="0052233F">
        <w:trPr>
          <w:trHeight w:val="690"/>
        </w:trPr>
        <w:tc>
          <w:tcPr>
            <w:tcW w:w="414" w:type="dxa"/>
            <w:vAlign w:val="center"/>
          </w:tcPr>
          <w:p w14:paraId="052CBC2D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color w:val="006600"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70" w:type="dxa"/>
          </w:tcPr>
          <w:p w14:paraId="2E9F102E" w14:textId="0202D440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color w:val="006600"/>
                <w:sz w:val="19"/>
                <w:szCs w:val="19"/>
              </w:rPr>
              <w:t xml:space="preserve">THE LIFE OF CHUCK, </w:t>
            </w:r>
            <w:r w:rsidRPr="00327C9B">
              <w:rPr>
                <w:rFonts w:ascii="Arial Narrow" w:hAnsi="Arial Narrow" w:cs="Arial"/>
                <w:bCs/>
                <w:iCs/>
                <w:color w:val="006600"/>
                <w:sz w:val="19"/>
                <w:szCs w:val="19"/>
              </w:rPr>
              <w:t>by Stephen King. The story of Charles “Chuck” Krantz’s life is told in reverse order; the basis of the film.</w:t>
            </w:r>
          </w:p>
        </w:tc>
        <w:tc>
          <w:tcPr>
            <w:tcW w:w="270" w:type="dxa"/>
            <w:vAlign w:val="center"/>
          </w:tcPr>
          <w:p w14:paraId="394C502F" w14:textId="6E9CAA58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14:paraId="3C1ED14B" w14:textId="2DE722FE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  <w:rPr>
                <w:color w:val="006600"/>
              </w:rPr>
            </w:pPr>
            <w:r w:rsidRPr="00327C9B">
              <w:rPr>
                <w:rFonts w:ascii="Arial Narrow" w:hAnsi="Arial Narrow" w:cs="Times New Roman"/>
                <w:b/>
                <w:bCs/>
                <w:color w:val="006600"/>
                <w:sz w:val="19"/>
                <w:szCs w:val="19"/>
              </w:rPr>
              <w:t>1</w:t>
            </w:r>
          </w:p>
        </w:tc>
      </w:tr>
      <w:tr w:rsidR="00FD4713" w:rsidRPr="009C1CA1" w14:paraId="14F4AB64" w14:textId="77777777" w:rsidTr="0052233F">
        <w:trPr>
          <w:trHeight w:val="696"/>
        </w:trPr>
        <w:tc>
          <w:tcPr>
            <w:tcW w:w="414" w:type="dxa"/>
            <w:shd w:val="clear" w:color="auto" w:fill="auto"/>
            <w:vAlign w:val="center"/>
          </w:tcPr>
          <w:p w14:paraId="423D4B9D" w14:textId="77777777" w:rsidR="00FD4713" w:rsidRPr="00327C9B" w:rsidRDefault="00FD4713" w:rsidP="00FD471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27C9B">
              <w:rPr>
                <w:rFonts w:ascii="Wingdings 2" w:eastAsia="Wingdings 2" w:hAnsi="Wingdings 2" w:cs="Wingdings 2"/>
                <w:b/>
                <w:bCs/>
                <w:sz w:val="19"/>
                <w:szCs w:val="19"/>
              </w:rPr>
              <w:t></w:t>
            </w:r>
            <w:r w:rsidRPr="00327C9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70" w:type="dxa"/>
            <w:shd w:val="clear" w:color="auto" w:fill="auto"/>
          </w:tcPr>
          <w:p w14:paraId="1FDE577D" w14:textId="01F51F59" w:rsidR="00FD4713" w:rsidRPr="00327C9B" w:rsidRDefault="00FD4713" w:rsidP="00FD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27C9B">
              <w:rPr>
                <w:rFonts w:ascii="Arial Narrow" w:hAnsi="Arial Narrow" w:cs="Arial"/>
                <w:b/>
                <w:bCs/>
                <w:i/>
                <w:iCs/>
                <w:sz w:val="19"/>
                <w:szCs w:val="19"/>
              </w:rPr>
              <w:t>THE EMPEROR OF GLADNESS</w:t>
            </w:r>
            <w:r w:rsidRPr="00327C9B">
              <w:rPr>
                <w:rFonts w:ascii="Arial Narrow" w:hAnsi="Arial Narrow" w:cs="Arial"/>
                <w:sz w:val="19"/>
                <w:szCs w:val="19"/>
              </w:rPr>
              <w:t xml:space="preserve">, by Ocean </w:t>
            </w:r>
            <w:proofErr w:type="spellStart"/>
            <w:r w:rsidRPr="00327C9B">
              <w:rPr>
                <w:rFonts w:ascii="Arial Narrow" w:hAnsi="Arial Narrow" w:cs="Arial"/>
                <w:sz w:val="19"/>
                <w:szCs w:val="19"/>
              </w:rPr>
              <w:t>Vuong</w:t>
            </w:r>
            <w:proofErr w:type="spellEnd"/>
            <w:r w:rsidRPr="00327C9B">
              <w:rPr>
                <w:rFonts w:ascii="Arial Narrow" w:hAnsi="Arial Narrow" w:cs="Arial"/>
                <w:sz w:val="19"/>
                <w:szCs w:val="19"/>
              </w:rPr>
              <w:t>. A young man becomes the caretaker of an elderly widow and they form a bond over the course of a year.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C2A823A" w14:textId="7AA1C347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55DCC4" w14:textId="27871F4D" w:rsidR="00FD4713" w:rsidRPr="00327C9B" w:rsidRDefault="00FF03A9" w:rsidP="00FD4713">
            <w:pPr>
              <w:pStyle w:val="TableParagraph"/>
              <w:spacing w:before="0" w:line="216" w:lineRule="auto"/>
              <w:ind w:left="0"/>
              <w:jc w:val="center"/>
            </w:pPr>
            <w:r w:rsidRPr="00327C9B">
              <w:rPr>
                <w:rFonts w:ascii="Arial Narrow" w:hAnsi="Arial Narrow" w:cs="Times New Roman"/>
                <w:b/>
                <w:bCs/>
                <w:sz w:val="19"/>
                <w:szCs w:val="19"/>
              </w:rPr>
              <w:t>5</w:t>
            </w:r>
          </w:p>
        </w:tc>
      </w:tr>
    </w:tbl>
    <w:p w14:paraId="29D6B04F" w14:textId="77777777"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14:paraId="15A2C9C4" w14:textId="77777777"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14:paraId="2A0F5EC0" w14:textId="643C4AE7"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DE8DCE7">
        <w:rPr>
          <w:rFonts w:ascii="Arial Narrow" w:hAnsi="Arial Narrow"/>
          <w:sz w:val="19"/>
          <w:szCs w:val="19"/>
        </w:rPr>
        <w:t xml:space="preserve">Key: </w:t>
      </w:r>
      <w:r w:rsidR="006877D3" w:rsidRPr="0DE8DCE7">
        <w:rPr>
          <w:rFonts w:ascii="Arial Narrow" w:hAnsi="Arial Narrow"/>
          <w:sz w:val="19"/>
          <w:szCs w:val="19"/>
        </w:rPr>
        <w:t>Tw</w:t>
      </w:r>
      <w:r w:rsidRPr="0DE8DCE7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Lw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DE8DCE7">
        <w:rPr>
          <w:rFonts w:ascii="Arial Narrow" w:hAnsi="Arial Narrow"/>
          <w:sz w:val="19"/>
          <w:szCs w:val="19"/>
        </w:rPr>
        <w:t>Wol</w:t>
      </w:r>
      <w:proofErr w:type="spellEnd"/>
      <w:r w:rsidRPr="0DE8DCE7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DE8DCE7">
        <w:rPr>
          <w:rFonts w:ascii="Wingdings 2" w:eastAsia="Wingdings 2" w:hAnsi="Wingdings 2" w:cs="Wingdings 2"/>
          <w:sz w:val="19"/>
          <w:szCs w:val="19"/>
        </w:rPr>
        <w:t></w:t>
      </w:r>
      <w:r w:rsidRPr="0DE8DCE7">
        <w:rPr>
          <w:rFonts w:ascii="Arial Narrow" w:hAnsi="Arial Narrow"/>
          <w:sz w:val="19"/>
          <w:szCs w:val="19"/>
        </w:rPr>
        <w:t>= available; I/P = In Processing; N/A</w:t>
      </w:r>
      <w:r w:rsidR="003A465E" w:rsidRPr="0DE8DCE7">
        <w:rPr>
          <w:rFonts w:ascii="Arial Narrow" w:hAnsi="Arial Narrow"/>
          <w:sz w:val="19"/>
          <w:szCs w:val="19"/>
        </w:rPr>
        <w:t xml:space="preserve"> = Not </w:t>
      </w:r>
      <w:r w:rsidR="00DA594B" w:rsidRPr="0DE8DCE7">
        <w:rPr>
          <w:rFonts w:ascii="Arial Narrow" w:hAnsi="Arial Narrow"/>
          <w:sz w:val="19"/>
          <w:szCs w:val="19"/>
        </w:rPr>
        <w:t>Available</w:t>
      </w:r>
    </w:p>
    <w:sectPr w:rsidR="00AF7537" w:rsidRPr="00320538" w:rsidSect="00E705B6">
      <w:footerReference w:type="defaul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475DEECC" w14:textId="77777777" w:rsidTr="686539B7">
      <w:trPr>
        <w:trHeight w:val="300"/>
      </w:trPr>
      <w:tc>
        <w:tcPr>
          <w:tcW w:w="3600" w:type="dxa"/>
        </w:tcPr>
        <w:p w14:paraId="2FF452D8" w14:textId="44252859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B689A95" w14:textId="576DB3B3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DBBC996" w14:textId="1012E21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83FF13" w14:textId="417CCDB0" w:rsidR="686539B7" w:rsidRDefault="686539B7" w:rsidP="686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6DC0D32E" w14:textId="77777777" w:rsidTr="686539B7">
      <w:trPr>
        <w:trHeight w:val="300"/>
      </w:trPr>
      <w:tc>
        <w:tcPr>
          <w:tcW w:w="3600" w:type="dxa"/>
        </w:tcPr>
        <w:p w14:paraId="2E30BFF0" w14:textId="09D0F595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0EB584DE" w14:textId="6F838511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7CAF2733" w14:textId="37A04383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0323BE30" w14:textId="30F6B321" w:rsidR="686539B7" w:rsidRDefault="686539B7" w:rsidP="6865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5418B0CF" w14:textId="77777777" w:rsidTr="686539B7">
      <w:trPr>
        <w:trHeight w:val="300"/>
      </w:trPr>
      <w:tc>
        <w:tcPr>
          <w:tcW w:w="3600" w:type="dxa"/>
        </w:tcPr>
        <w:p w14:paraId="166AB783" w14:textId="54551A2C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14AD9612" w14:textId="2F110BE5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2DD340AA" w14:textId="740AACA9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57193809" w14:textId="63EADC27" w:rsidR="686539B7" w:rsidRDefault="686539B7" w:rsidP="686539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86539B7" w14:paraId="361665A2" w14:textId="77777777" w:rsidTr="686539B7">
      <w:trPr>
        <w:trHeight w:val="300"/>
      </w:trPr>
      <w:tc>
        <w:tcPr>
          <w:tcW w:w="3600" w:type="dxa"/>
        </w:tcPr>
        <w:p w14:paraId="4491BCED" w14:textId="2A979AB0" w:rsidR="686539B7" w:rsidRDefault="686539B7" w:rsidP="686539B7">
          <w:pPr>
            <w:pStyle w:val="Header"/>
            <w:ind w:left="-115"/>
          </w:pPr>
        </w:p>
      </w:tc>
      <w:tc>
        <w:tcPr>
          <w:tcW w:w="3600" w:type="dxa"/>
        </w:tcPr>
        <w:p w14:paraId="4E53FBB2" w14:textId="4F3BAD79" w:rsidR="686539B7" w:rsidRDefault="686539B7" w:rsidP="686539B7">
          <w:pPr>
            <w:pStyle w:val="Header"/>
            <w:jc w:val="center"/>
          </w:pPr>
        </w:p>
      </w:tc>
      <w:tc>
        <w:tcPr>
          <w:tcW w:w="3600" w:type="dxa"/>
        </w:tcPr>
        <w:p w14:paraId="18181FF8" w14:textId="6B28DDBF" w:rsidR="686539B7" w:rsidRDefault="686539B7" w:rsidP="686539B7">
          <w:pPr>
            <w:pStyle w:val="Header"/>
            <w:ind w:right="-115"/>
            <w:jc w:val="right"/>
          </w:pPr>
        </w:p>
      </w:tc>
    </w:tr>
  </w:tbl>
  <w:p w14:paraId="2E3AEAEF" w14:textId="57FF1F96" w:rsidR="686539B7" w:rsidRDefault="686539B7" w:rsidP="6865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7312" w14:textId="55ABFF63" w:rsidR="00E96A22" w:rsidRPr="00CB7594" w:rsidRDefault="0C7303F1" w:rsidP="0C7303F1">
    <w:pPr>
      <w:spacing w:after="0" w:line="240" w:lineRule="auto"/>
      <w:rPr>
        <w:rFonts w:ascii="Arial Narrow" w:hAnsi="Arial Narrow"/>
        <w:b/>
        <w:bCs/>
      </w:rPr>
    </w:pPr>
    <w:r w:rsidRPr="0C7303F1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>
      <w:t xml:space="preserve"> – </w:t>
    </w:r>
    <w:r w:rsidRPr="0C7303F1">
      <w:rPr>
        <w:rFonts w:ascii="Arial Narrow" w:hAnsi="Arial Narrow"/>
        <w:b/>
        <w:bCs/>
      </w:rPr>
      <w:t>Week of June 2</w:t>
    </w:r>
    <w:r w:rsidR="00FD4713">
      <w:rPr>
        <w:rFonts w:ascii="Arial Narrow" w:hAnsi="Arial Narrow"/>
        <w:b/>
        <w:bCs/>
      </w:rPr>
      <w:t>9</w:t>
    </w:r>
    <w:r w:rsidRPr="0C7303F1">
      <w:rPr>
        <w:rFonts w:ascii="Arial Narrow" w:hAnsi="Arial Narrow"/>
        <w:b/>
        <w:bCs/>
      </w:rPr>
      <w:t>, 2025</w:t>
    </w:r>
  </w:p>
  <w:p w14:paraId="1ACBD2EE" w14:textId="77777777"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14:paraId="1728A07B" w14:textId="77777777"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27C9B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33F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713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3A9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  <w:rsid w:val="0203867A"/>
    <w:rsid w:val="04933DD6"/>
    <w:rsid w:val="04C17D08"/>
    <w:rsid w:val="04D29633"/>
    <w:rsid w:val="050CF39D"/>
    <w:rsid w:val="054DBFC2"/>
    <w:rsid w:val="055B204B"/>
    <w:rsid w:val="073B21F2"/>
    <w:rsid w:val="07E1ACBA"/>
    <w:rsid w:val="0A3C3957"/>
    <w:rsid w:val="0B6ACF0D"/>
    <w:rsid w:val="0C7303F1"/>
    <w:rsid w:val="0DB2BFB7"/>
    <w:rsid w:val="0DE8DCE7"/>
    <w:rsid w:val="0E7AB3E3"/>
    <w:rsid w:val="0F31D004"/>
    <w:rsid w:val="0F961F9B"/>
    <w:rsid w:val="10368C6E"/>
    <w:rsid w:val="108DE35F"/>
    <w:rsid w:val="1113E61B"/>
    <w:rsid w:val="12D0ED2A"/>
    <w:rsid w:val="1679921B"/>
    <w:rsid w:val="172BB1BA"/>
    <w:rsid w:val="180F305D"/>
    <w:rsid w:val="19D57AA7"/>
    <w:rsid w:val="19EFE43F"/>
    <w:rsid w:val="1AC9DB59"/>
    <w:rsid w:val="1CCB04AE"/>
    <w:rsid w:val="1E7BAB3B"/>
    <w:rsid w:val="2202BDBF"/>
    <w:rsid w:val="223180D3"/>
    <w:rsid w:val="232438A8"/>
    <w:rsid w:val="2B98A278"/>
    <w:rsid w:val="2BC529D6"/>
    <w:rsid w:val="2C8EA98D"/>
    <w:rsid w:val="2F683FE4"/>
    <w:rsid w:val="2FE71F1E"/>
    <w:rsid w:val="3187E095"/>
    <w:rsid w:val="328FC1F3"/>
    <w:rsid w:val="3439C181"/>
    <w:rsid w:val="351F2C2E"/>
    <w:rsid w:val="378F6088"/>
    <w:rsid w:val="381A005F"/>
    <w:rsid w:val="3C1DC884"/>
    <w:rsid w:val="3C9D28E3"/>
    <w:rsid w:val="3F295230"/>
    <w:rsid w:val="40C8F627"/>
    <w:rsid w:val="40F5DAFE"/>
    <w:rsid w:val="42D0693A"/>
    <w:rsid w:val="430A1E51"/>
    <w:rsid w:val="463A49BC"/>
    <w:rsid w:val="4659CD58"/>
    <w:rsid w:val="46A15D6B"/>
    <w:rsid w:val="49CE253F"/>
    <w:rsid w:val="4A477DE0"/>
    <w:rsid w:val="4BF8E22F"/>
    <w:rsid w:val="4CE0C554"/>
    <w:rsid w:val="4D30E53E"/>
    <w:rsid w:val="4D51B233"/>
    <w:rsid w:val="4E47596C"/>
    <w:rsid w:val="4EB1E3A9"/>
    <w:rsid w:val="50E7B3F5"/>
    <w:rsid w:val="51BB468C"/>
    <w:rsid w:val="56113D83"/>
    <w:rsid w:val="564714AF"/>
    <w:rsid w:val="5794289A"/>
    <w:rsid w:val="58E686C1"/>
    <w:rsid w:val="59A62FB2"/>
    <w:rsid w:val="5A38F34A"/>
    <w:rsid w:val="5D131DC4"/>
    <w:rsid w:val="5DBADAAC"/>
    <w:rsid w:val="5DD944FB"/>
    <w:rsid w:val="60285B5E"/>
    <w:rsid w:val="60A4906D"/>
    <w:rsid w:val="60CE6A0A"/>
    <w:rsid w:val="65A7D122"/>
    <w:rsid w:val="66066694"/>
    <w:rsid w:val="662C440B"/>
    <w:rsid w:val="663A7AC7"/>
    <w:rsid w:val="66FCD267"/>
    <w:rsid w:val="67D3E4A9"/>
    <w:rsid w:val="686539B7"/>
    <w:rsid w:val="68D59260"/>
    <w:rsid w:val="69531300"/>
    <w:rsid w:val="698EC818"/>
    <w:rsid w:val="6ABAE577"/>
    <w:rsid w:val="6B9179DA"/>
    <w:rsid w:val="6CE471AE"/>
    <w:rsid w:val="6EFF9147"/>
    <w:rsid w:val="6F8AF6A7"/>
    <w:rsid w:val="7167C582"/>
    <w:rsid w:val="719ACDBC"/>
    <w:rsid w:val="7227FB7E"/>
    <w:rsid w:val="72AFDECF"/>
    <w:rsid w:val="72F21E73"/>
    <w:rsid w:val="733B37A8"/>
    <w:rsid w:val="7360A91D"/>
    <w:rsid w:val="73851C71"/>
    <w:rsid w:val="746D43FB"/>
    <w:rsid w:val="76D5D01C"/>
    <w:rsid w:val="7996E8DE"/>
    <w:rsid w:val="7AE67DED"/>
    <w:rsid w:val="7BC54D0B"/>
    <w:rsid w:val="7BFA3F2F"/>
    <w:rsid w:val="7CB22867"/>
    <w:rsid w:val="7D0D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3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BF5-4AA0-42D0-AE59-E4C876A5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2025-06-09T13:24:00Z</cp:lastPrinted>
  <dcterms:created xsi:type="dcterms:W3CDTF">2025-06-27T18:21:00Z</dcterms:created>
  <dcterms:modified xsi:type="dcterms:W3CDTF">2025-06-27T18:21:00Z</dcterms:modified>
</cp:coreProperties>
</file>